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A" w:rsidRPr="005E32AA" w:rsidRDefault="001C0D38" w:rsidP="005E32AA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1C0D3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無師自通的期貨交易程式設計入門---使用 MultiCharts 交易平台</w:t>
      </w:r>
      <w:r w:rsidR="005E32AA"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-勘誤表</w:t>
      </w:r>
    </w:p>
    <w:p w:rsidR="000C6699" w:rsidRPr="00056986" w:rsidRDefault="005E32AA" w:rsidP="005E32AA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Cs w:val="28"/>
        </w:rPr>
      </w:pPr>
      <w:r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修訂日期：2022/</w:t>
      </w:r>
      <w:r w:rsidR="001C0D38">
        <w:rPr>
          <w:rFonts w:ascii="微軟正黑體" w:eastAsia="微軟正黑體" w:hAnsi="微軟正黑體" w:cs="Arial"/>
          <w:color w:val="000000"/>
          <w:sz w:val="28"/>
          <w:szCs w:val="28"/>
        </w:rPr>
        <w:t>9</w:t>
      </w:r>
      <w:r w:rsidR="001C0D3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/1</w:t>
      </w:r>
    </w:p>
    <w:tbl>
      <w:tblPr>
        <w:tblStyle w:val="a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24"/>
        <w:gridCol w:w="831"/>
        <w:gridCol w:w="7454"/>
        <w:gridCol w:w="7187"/>
      </w:tblGrid>
      <w:tr w:rsidR="006F2314" w:rsidRPr="00C21F07" w:rsidTr="002B323D">
        <w:trPr>
          <w:trHeight w:val="567"/>
        </w:trPr>
        <w:tc>
          <w:tcPr>
            <w:tcW w:w="253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</w:pPr>
            <w:r w:rsidRPr="00C21F07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  <w:szCs w:val="22"/>
              </w:rPr>
              <w:t>頁</w:t>
            </w:r>
          </w:p>
        </w:tc>
        <w:tc>
          <w:tcPr>
            <w:tcW w:w="255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21F07">
              <w:rPr>
                <w:rFonts w:eastAsia="微軟正黑體"/>
                <w:sz w:val="22"/>
                <w:szCs w:val="22"/>
              </w:rPr>
              <w:t>位置</w:t>
            </w:r>
            <w:r w:rsidRPr="00C21F07">
              <w:rPr>
                <w:rFonts w:eastAsia="微軟正黑體"/>
                <w:sz w:val="22"/>
                <w:szCs w:val="22"/>
              </w:rPr>
              <w:t>(</w:t>
            </w:r>
            <w:r w:rsidRPr="00C21F07">
              <w:rPr>
                <w:rFonts w:eastAsia="微軟正黑體"/>
                <w:sz w:val="22"/>
                <w:szCs w:val="22"/>
              </w:rPr>
              <w:t>列</w:t>
            </w:r>
            <w:r w:rsidRPr="00C21F07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287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C21F07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原始的文字</w:t>
            </w:r>
          </w:p>
        </w:tc>
        <w:tc>
          <w:tcPr>
            <w:tcW w:w="2205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C21F0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更正或調整後的文字</w:t>
            </w:r>
          </w:p>
        </w:tc>
      </w:tr>
      <w:tr w:rsidR="006F2314" w:rsidRPr="00C21F07" w:rsidTr="002B323D">
        <w:trPr>
          <w:trHeight w:val="567"/>
        </w:trPr>
        <w:tc>
          <w:tcPr>
            <w:tcW w:w="253" w:type="pct"/>
            <w:vAlign w:val="center"/>
          </w:tcPr>
          <w:p w:rsidR="00735CF1" w:rsidRPr="00C21F07" w:rsidRDefault="001C0D38" w:rsidP="00735CF1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1C0D38">
              <w:rPr>
                <w:rFonts w:eastAsia="微軟正黑體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5" w:type="pct"/>
            <w:vAlign w:val="center"/>
          </w:tcPr>
          <w:p w:rsidR="00735CF1" w:rsidRPr="00C21F07" w:rsidRDefault="001C0D38" w:rsidP="00735CF1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735CF1" w:rsidRPr="00C21F07" w:rsidRDefault="001C0D38" w:rsidP="001C0D3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C0D38">
              <w:rPr>
                <w:rFonts w:ascii="微軟正黑體" w:eastAsia="微軟正黑體" w:hAnsi="微軟正黑體" w:hint="eastAsia"/>
                <w:sz w:val="22"/>
                <w:szCs w:val="22"/>
              </w:rPr>
              <w:t>進多單」、「賣出空單」、</w:t>
            </w:r>
            <w:r w:rsidRPr="004703E8"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1C0D38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買進空單</w:t>
            </w:r>
            <w:r w:rsidRPr="004703E8">
              <w:rPr>
                <w:rFonts w:ascii="微軟正黑體" w:eastAsia="微軟正黑體" w:hAnsi="微軟正黑體" w:hint="eastAsia"/>
                <w:sz w:val="22"/>
                <w:szCs w:val="22"/>
              </w:rPr>
              <w:t>」與「</w:t>
            </w:r>
            <w:r w:rsidRPr="001C0D38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賣出多單</w:t>
            </w:r>
            <w:r w:rsidRPr="004703E8">
              <w:rPr>
                <w:rFonts w:ascii="微軟正黑體" w:eastAsia="微軟正黑體" w:hAnsi="微軟正黑體" w:hint="eastAsia"/>
                <w:sz w:val="22"/>
                <w:szCs w:val="22"/>
              </w:rPr>
              <w:t>」，</w:t>
            </w:r>
          </w:p>
        </w:tc>
        <w:tc>
          <w:tcPr>
            <w:tcW w:w="2205" w:type="pct"/>
            <w:vAlign w:val="center"/>
          </w:tcPr>
          <w:p w:rsidR="00735CF1" w:rsidRPr="00C21F07" w:rsidRDefault="001C0D38" w:rsidP="004703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C0D38">
              <w:rPr>
                <w:rFonts w:ascii="微軟正黑體" w:eastAsia="微軟正黑體" w:hAnsi="微軟正黑體" w:hint="eastAsia"/>
                <w:sz w:val="22"/>
                <w:szCs w:val="22"/>
              </w:rPr>
              <w:t>進多單」、「賣出空單」、</w:t>
            </w:r>
            <w:r w:rsidRPr="004703E8"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="004703E8" w:rsidRPr="001C0D3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賣出多單</w:t>
            </w:r>
            <w:r w:rsidRPr="004703E8">
              <w:rPr>
                <w:rFonts w:ascii="微軟正黑體" w:eastAsia="微軟正黑體" w:hAnsi="微軟正黑體" w:hint="eastAsia"/>
                <w:sz w:val="22"/>
                <w:szCs w:val="22"/>
              </w:rPr>
              <w:t>」與「</w:t>
            </w:r>
            <w:r w:rsidR="004703E8" w:rsidRPr="001C0D3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買進空單</w:t>
            </w:r>
            <w:r w:rsidRPr="004703E8"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  <w:r w:rsidRPr="001C0D38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</w:p>
        </w:tc>
      </w:tr>
      <w:tr w:rsidR="0010215C" w:rsidRPr="00C21F07" w:rsidTr="002B323D">
        <w:trPr>
          <w:trHeight w:val="405"/>
        </w:trPr>
        <w:tc>
          <w:tcPr>
            <w:tcW w:w="253" w:type="pct"/>
            <w:vAlign w:val="center"/>
          </w:tcPr>
          <w:p w:rsidR="0010215C" w:rsidRDefault="00C50F7F" w:rsidP="006F231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10215C" w:rsidRDefault="00C50F7F" w:rsidP="006F231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10215C" w:rsidRPr="006F2314" w:rsidRDefault="00C50F7F" w:rsidP="006F2314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7-2-8 </w:t>
            </w:r>
            <w:r w:rsidRPr="00C50F7F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>函數</w:t>
            </w:r>
          </w:p>
        </w:tc>
        <w:tc>
          <w:tcPr>
            <w:tcW w:w="2205" w:type="pct"/>
            <w:vAlign w:val="center"/>
          </w:tcPr>
          <w:p w:rsidR="0010215C" w:rsidRPr="006F2314" w:rsidRDefault="00C50F7F" w:rsidP="006F2314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7-2-8 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>函數</w:t>
            </w:r>
          </w:p>
        </w:tc>
      </w:tr>
      <w:tr w:rsidR="0010215C" w:rsidRPr="00C21F07" w:rsidTr="002B323D">
        <w:trPr>
          <w:trHeight w:val="405"/>
        </w:trPr>
        <w:tc>
          <w:tcPr>
            <w:tcW w:w="253" w:type="pct"/>
            <w:vAlign w:val="center"/>
          </w:tcPr>
          <w:p w:rsidR="0010215C" w:rsidRDefault="003520DD" w:rsidP="006F231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10215C" w:rsidRDefault="003520DD" w:rsidP="006F231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5</w:t>
            </w:r>
          </w:p>
        </w:tc>
        <w:tc>
          <w:tcPr>
            <w:tcW w:w="2287" w:type="pct"/>
            <w:vAlign w:val="center"/>
          </w:tcPr>
          <w:p w:rsidR="0010215C" w:rsidRPr="006F2314" w:rsidRDefault="003520DD" w:rsidP="006F2314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則可使用函數「</w:t>
            </w:r>
            <w:r w:rsidRPr="003520DD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」來處理。「</w:t>
            </w:r>
            <w:r w:rsidRPr="003520DD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」函數說明，請參考「表</w:t>
            </w:r>
          </w:p>
        </w:tc>
        <w:tc>
          <w:tcPr>
            <w:tcW w:w="2205" w:type="pct"/>
            <w:vAlign w:val="center"/>
          </w:tcPr>
          <w:p w:rsidR="0010215C" w:rsidRPr="006F2314" w:rsidRDefault="003520DD" w:rsidP="006F2314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則可使用函數「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」來處理。「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」函數說明，請參考「表</w:t>
            </w:r>
          </w:p>
        </w:tc>
      </w:tr>
      <w:tr w:rsidR="0010215C" w:rsidRPr="00C21F07" w:rsidTr="002B323D">
        <w:trPr>
          <w:trHeight w:val="405"/>
        </w:trPr>
        <w:tc>
          <w:tcPr>
            <w:tcW w:w="253" w:type="pct"/>
            <w:vAlign w:val="center"/>
          </w:tcPr>
          <w:p w:rsidR="0010215C" w:rsidRDefault="003520DD" w:rsidP="006F231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10215C" w:rsidRDefault="00C75F83" w:rsidP="006F231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9</w:t>
            </w:r>
          </w:p>
        </w:tc>
        <w:tc>
          <w:tcPr>
            <w:tcW w:w="2287" w:type="pct"/>
            <w:vAlign w:val="center"/>
          </w:tcPr>
          <w:p w:rsidR="00C75F83" w:rsidRPr="00C75F83" w:rsidRDefault="00C75F83" w:rsidP="00C75F8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FF"/>
                <w:sz w:val="22"/>
                <w:szCs w:val="22"/>
              </w:rPr>
              <w:t>BBands</w:t>
            </w: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(NumericSeries pricevalue,</w:t>
            </w:r>
          </w:p>
          <w:p w:rsidR="00C75F83" w:rsidRPr="00C75F83" w:rsidRDefault="00C75F83" w:rsidP="00C75F83">
            <w:pPr>
              <w:adjustRightInd w:val="0"/>
              <w:snapToGrid w:val="0"/>
              <w:spacing w:line="240" w:lineRule="exact"/>
              <w:ind w:firstLineChars="300" w:firstLine="66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NumericSimple len,</w:t>
            </w:r>
          </w:p>
          <w:p w:rsidR="0010215C" w:rsidRPr="006F2314" w:rsidRDefault="00C75F83" w:rsidP="00C75F83">
            <w:pPr>
              <w:adjustRightInd w:val="0"/>
              <w:snapToGrid w:val="0"/>
              <w:spacing w:line="240" w:lineRule="exact"/>
              <w:ind w:firstLineChars="300" w:firstLine="66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NumericSimple numdevs)</w:t>
            </w:r>
          </w:p>
        </w:tc>
        <w:tc>
          <w:tcPr>
            <w:tcW w:w="2205" w:type="pct"/>
            <w:vAlign w:val="center"/>
          </w:tcPr>
          <w:p w:rsidR="00C75F83" w:rsidRPr="00C75F83" w:rsidRDefault="00C75F83" w:rsidP="00C75F8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(NumericSeries pricevalue,</w:t>
            </w:r>
          </w:p>
          <w:p w:rsidR="00C75F83" w:rsidRPr="00C75F83" w:rsidRDefault="00C75F83" w:rsidP="00C75F83">
            <w:pPr>
              <w:adjustRightInd w:val="0"/>
              <w:snapToGrid w:val="0"/>
              <w:spacing w:line="240" w:lineRule="exact"/>
              <w:ind w:firstLineChars="600" w:firstLine="132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NumericSimple len,</w:t>
            </w:r>
          </w:p>
          <w:p w:rsidR="0010215C" w:rsidRPr="006F2314" w:rsidRDefault="00C75F83" w:rsidP="00C75F83">
            <w:pPr>
              <w:adjustRightInd w:val="0"/>
              <w:snapToGrid w:val="0"/>
              <w:spacing w:line="240" w:lineRule="exact"/>
              <w:ind w:firstLineChars="600" w:firstLine="132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NumericSimple numdevs)</w:t>
            </w:r>
          </w:p>
        </w:tc>
      </w:tr>
      <w:tr w:rsidR="008D17FD" w:rsidRPr="00C21F07" w:rsidTr="002B323D">
        <w:trPr>
          <w:trHeight w:val="405"/>
        </w:trPr>
        <w:tc>
          <w:tcPr>
            <w:tcW w:w="253" w:type="pct"/>
            <w:vAlign w:val="center"/>
          </w:tcPr>
          <w:p w:rsidR="008D17FD" w:rsidRDefault="008D17FD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8D17FD" w:rsidRDefault="008D17FD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287" w:type="pct"/>
            <w:vAlign w:val="center"/>
          </w:tcPr>
          <w:p w:rsidR="008D17FD" w:rsidRPr="006F2314" w:rsidRDefault="008D17FD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•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pricevalue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」、「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len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」及「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numdevs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」都是「</w:t>
            </w:r>
            <w:r w:rsidRPr="008D17FD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</w:t>
            </w:r>
          </w:p>
        </w:tc>
        <w:tc>
          <w:tcPr>
            <w:tcW w:w="2205" w:type="pct"/>
            <w:vAlign w:val="center"/>
          </w:tcPr>
          <w:p w:rsidR="008D17FD" w:rsidRPr="006F2314" w:rsidRDefault="008D17FD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•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pricevalue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」、「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len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」及「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numdevs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」都是「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</w:t>
            </w:r>
          </w:p>
        </w:tc>
      </w:tr>
      <w:tr w:rsidR="008D17FD" w:rsidRPr="00C21F07" w:rsidTr="002B323D">
        <w:trPr>
          <w:trHeight w:val="405"/>
        </w:trPr>
        <w:tc>
          <w:tcPr>
            <w:tcW w:w="253" w:type="pct"/>
            <w:vAlign w:val="center"/>
          </w:tcPr>
          <w:p w:rsidR="008D17FD" w:rsidRDefault="008D17FD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8D17FD" w:rsidRDefault="008D17FD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8D17FD" w:rsidRPr="008D17FD" w:rsidRDefault="005E08BE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5E08BE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」函數所回傳資料的型態為「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Numeric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</w:tc>
        <w:tc>
          <w:tcPr>
            <w:tcW w:w="2205" w:type="pct"/>
            <w:vAlign w:val="center"/>
          </w:tcPr>
          <w:p w:rsidR="008D17FD" w:rsidRPr="006F2314" w:rsidRDefault="005E08BE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」函數所回傳資料的型態為「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Numeric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</w:tc>
      </w:tr>
      <w:tr w:rsidR="008D17FD" w:rsidRPr="00C21F07" w:rsidTr="002B323D">
        <w:trPr>
          <w:trHeight w:val="405"/>
        </w:trPr>
        <w:tc>
          <w:tcPr>
            <w:tcW w:w="253" w:type="pct"/>
            <w:vAlign w:val="center"/>
          </w:tcPr>
          <w:p w:rsidR="008D17FD" w:rsidRDefault="008D17FD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8D17FD" w:rsidRDefault="00423BFC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5</w:t>
            </w:r>
          </w:p>
        </w:tc>
        <w:tc>
          <w:tcPr>
            <w:tcW w:w="2287" w:type="pct"/>
            <w:vAlign w:val="center"/>
          </w:tcPr>
          <w:p w:rsidR="008D17FD" w:rsidRPr="008D17FD" w:rsidRDefault="00423BFC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423BFC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(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1,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3)</w:t>
            </w:r>
          </w:p>
        </w:tc>
        <w:tc>
          <w:tcPr>
            <w:tcW w:w="2205" w:type="pct"/>
            <w:vAlign w:val="center"/>
          </w:tcPr>
          <w:p w:rsidR="008D17FD" w:rsidRPr="006F2314" w:rsidRDefault="00423BFC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(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1,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3)</w:t>
            </w:r>
          </w:p>
        </w:tc>
      </w:tr>
      <w:tr w:rsidR="00423BFC" w:rsidRPr="00C21F07" w:rsidTr="002B323D">
        <w:trPr>
          <w:trHeight w:val="405"/>
        </w:trPr>
        <w:tc>
          <w:tcPr>
            <w:tcW w:w="253" w:type="pct"/>
            <w:vAlign w:val="center"/>
          </w:tcPr>
          <w:p w:rsidR="00423BFC" w:rsidRDefault="00423BFC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" w:type="pct"/>
            <w:vAlign w:val="center"/>
          </w:tcPr>
          <w:p w:rsidR="00423BFC" w:rsidRDefault="00AE42A3" w:rsidP="008D17FD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</w:tc>
        <w:tc>
          <w:tcPr>
            <w:tcW w:w="2287" w:type="pct"/>
            <w:vAlign w:val="center"/>
          </w:tcPr>
          <w:p w:rsidR="00423BFC" w:rsidRPr="00AE42A3" w:rsidRDefault="00AE42A3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呼叫「</w:t>
            </w:r>
            <w:r w:rsidRPr="00AE42A3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」函數所傳入的「引數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1</w:t>
            </w:r>
            <w:r w:rsidRPr="00AE42A3">
              <w:rPr>
                <w:rFonts w:eastAsia="微軟正黑體" w:hint="eastAsia"/>
                <w:sz w:val="22"/>
                <w:szCs w:val="22"/>
              </w:rPr>
              <w:t>」、「引數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2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」及「引數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3</w:t>
            </w:r>
            <w:r w:rsidRPr="00AE42A3">
              <w:rPr>
                <w:rFonts w:eastAsia="微軟正黑體" w:hint="eastAsia"/>
                <w:sz w:val="22"/>
                <w:szCs w:val="22"/>
              </w:rPr>
              <w:t>」，</w:t>
            </w:r>
          </w:p>
        </w:tc>
        <w:tc>
          <w:tcPr>
            <w:tcW w:w="2205" w:type="pct"/>
            <w:vAlign w:val="center"/>
          </w:tcPr>
          <w:p w:rsidR="00423BFC" w:rsidRPr="00C50F7F" w:rsidRDefault="00AE42A3" w:rsidP="008D17FD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呼叫「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」函數所傳入的「引數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1</w:t>
            </w:r>
            <w:r w:rsidRPr="00AE42A3">
              <w:rPr>
                <w:rFonts w:eastAsia="微軟正黑體" w:hint="eastAsia"/>
                <w:sz w:val="22"/>
                <w:szCs w:val="22"/>
              </w:rPr>
              <w:t>」、「引數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2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」及「引數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3</w:t>
            </w:r>
            <w:r w:rsidRPr="00AE42A3">
              <w:rPr>
                <w:rFonts w:eastAsia="微軟正黑體" w:hint="eastAsia"/>
                <w:sz w:val="22"/>
                <w:szCs w:val="22"/>
              </w:rPr>
              <w:t>」，</w:t>
            </w:r>
          </w:p>
        </w:tc>
      </w:tr>
      <w:tr w:rsidR="00980972" w:rsidRPr="00C21F07" w:rsidTr="002B323D">
        <w:trPr>
          <w:trHeight w:val="405"/>
        </w:trPr>
        <w:tc>
          <w:tcPr>
            <w:tcW w:w="253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6</w:t>
            </w:r>
          </w:p>
        </w:tc>
        <w:tc>
          <w:tcPr>
            <w:tcW w:w="2287" w:type="pct"/>
            <w:vAlign w:val="center"/>
          </w:tcPr>
          <w:p w:rsidR="00980972" w:rsidRPr="00AE42A3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「</w:t>
            </w:r>
            <w:r w:rsidRPr="00AE42A3">
              <w:rPr>
                <w:rFonts w:eastAsia="微軟正黑體" w:hint="eastAsia"/>
                <w:sz w:val="22"/>
                <w:szCs w:val="22"/>
              </w:rPr>
              <w:t>BBands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」內建函數的原始程式碼</w:t>
            </w:r>
          </w:p>
        </w:tc>
        <w:tc>
          <w:tcPr>
            <w:tcW w:w="2205" w:type="pct"/>
            <w:vAlign w:val="center"/>
          </w:tcPr>
          <w:p w:rsidR="00980972" w:rsidRPr="00AE42A3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「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」內建函數的原始程式碼</w:t>
            </w:r>
          </w:p>
        </w:tc>
      </w:tr>
      <w:tr w:rsidR="00980972" w:rsidRPr="00C21F07" w:rsidTr="002B323D">
        <w:trPr>
          <w:trHeight w:val="405"/>
        </w:trPr>
        <w:tc>
          <w:tcPr>
            <w:tcW w:w="253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</w:tc>
        <w:tc>
          <w:tcPr>
            <w:tcW w:w="2287" w:type="pct"/>
            <w:vAlign w:val="center"/>
          </w:tcPr>
          <w:p w:rsidR="00980972" w:rsidRPr="006F2314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顏色為紅色的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0000FF"/>
                <w:sz w:val="22"/>
                <w:szCs w:val="22"/>
              </w:rPr>
              <w:t>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倍標準差上軌曲線；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名稱為</w:t>
            </w:r>
          </w:p>
        </w:tc>
        <w:tc>
          <w:tcPr>
            <w:tcW w:w="2205" w:type="pct"/>
            <w:vAlign w:val="center"/>
          </w:tcPr>
          <w:p w:rsidR="00980972" w:rsidRPr="006F2314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顏色為紅色的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FF0000"/>
                <w:sz w:val="22"/>
                <w:szCs w:val="22"/>
              </w:rPr>
              <w:t>布林通道指標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倍標準差上軌曲線；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名稱為</w:t>
            </w:r>
          </w:p>
        </w:tc>
      </w:tr>
      <w:tr w:rsidR="00980972" w:rsidRPr="00C21F07" w:rsidTr="002B323D">
        <w:trPr>
          <w:trHeight w:val="405"/>
        </w:trPr>
        <w:tc>
          <w:tcPr>
            <w:tcW w:w="253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980972" w:rsidRPr="006F2314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BBandsDnLine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，顏色為青色的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0000FF"/>
                <w:sz w:val="22"/>
                <w:szCs w:val="22"/>
              </w:rPr>
              <w:t>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之負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2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倍標準差下軌曲</w:t>
            </w:r>
          </w:p>
        </w:tc>
        <w:tc>
          <w:tcPr>
            <w:tcW w:w="2205" w:type="pct"/>
            <w:vAlign w:val="center"/>
          </w:tcPr>
          <w:p w:rsidR="00980972" w:rsidRPr="006F2314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BBandsDnLine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，顏色為青色的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FF0000"/>
                <w:sz w:val="22"/>
                <w:szCs w:val="22"/>
              </w:rPr>
              <w:t>布林通道指標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之負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2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倍標準差下軌曲</w:t>
            </w:r>
          </w:p>
        </w:tc>
      </w:tr>
      <w:tr w:rsidR="00980972" w:rsidRPr="00C21F07" w:rsidTr="002B323D">
        <w:trPr>
          <w:trHeight w:val="1975"/>
        </w:trPr>
        <w:tc>
          <w:tcPr>
            <w:tcW w:w="253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" w:type="pct"/>
            <w:vAlign w:val="center"/>
          </w:tcPr>
          <w:p w:rsidR="00980972" w:rsidRPr="00F83AFF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287" w:type="pct"/>
            <w:vAlign w:val="center"/>
          </w:tcPr>
          <w:p w:rsidR="00980972" w:rsidRPr="006F2314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(1)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_Ch8Ex11Signal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」訊號：在交易時段內，若「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內盤量總和之差額，由下往上穿越前一次兩者的差額，且目前的兩者的差額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&gt;= 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，則賣出手中的空單，並標示「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UVandDVminusVolumeSX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」。若「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內盤量總和之差額，由上往下穿越前一次兩者的差額，且目前的兩者的差額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&lt;= -150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，則賣出手中的多單，並標示「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UVandDVminusVolumeLX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  <w:p w:rsidR="00980972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(2)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Ex11.wsp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」工作底稿，並新增一臺指期貨「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TXF1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日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週期的圖表視窗，且在圖表視窗中新增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」商品及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</w:t>
            </w:r>
          </w:p>
          <w:p w:rsidR="00980972" w:rsidRPr="00594C7E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」商品。</w:t>
            </w:r>
          </w:p>
        </w:tc>
        <w:tc>
          <w:tcPr>
            <w:tcW w:w="2205" w:type="pct"/>
            <w:vAlign w:val="center"/>
          </w:tcPr>
          <w:p w:rsidR="00980972" w:rsidRPr="006F2314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(1)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_Ch8Ex11Signal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」訊號：在交易時段內，若「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ED00B9" w:rsidRPr="002B323D">
              <w:rPr>
                <w:rFonts w:asciiTheme="majorHAnsi" w:eastAsia="微軟正黑體" w:hAnsiTheme="majorHAnsi" w:cstheme="maj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內盤量總和之差額，由下往上穿越前一次兩者的差額，且目前的兩者的差額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&gt;= 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，則賣出手中的空單，並標示「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UVandDVminusVolumeSX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」。若「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2B323D"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2B323D"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內盤量總和之差額，由上往下穿越前一次兩者的差額，且目前的兩者的差額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&lt;= -150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，則賣出手中的多單，並標示「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UVandDVminusVolumeLX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  <w:p w:rsidR="00980972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(2)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Ex11.wsp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」工作底稿，並新增一臺指期貨「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TXF1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日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週期的圖表視窗，且在圖表視窗中新增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2B323D"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」商品及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</w:t>
            </w:r>
          </w:p>
          <w:p w:rsidR="00980972" w:rsidRPr="00594C7E" w:rsidRDefault="00980972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2B323D"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」商品。</w:t>
            </w:r>
          </w:p>
        </w:tc>
      </w:tr>
      <w:tr w:rsidR="00980972" w:rsidRPr="00C21F07" w:rsidTr="002B323D">
        <w:trPr>
          <w:trHeight w:val="405"/>
        </w:trPr>
        <w:tc>
          <w:tcPr>
            <w:tcW w:w="253" w:type="pct"/>
            <w:vAlign w:val="center"/>
          </w:tcPr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" w:type="pct"/>
            <w:vAlign w:val="center"/>
          </w:tcPr>
          <w:p w:rsidR="00980972" w:rsidRPr="00F83AFF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倒數</w:t>
            </w:r>
          </w:p>
          <w:p w:rsidR="00980972" w:rsidRDefault="00980972" w:rsidP="00980972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第</w:t>
            </w:r>
            <w:r>
              <w:rPr>
                <w:rFonts w:eastAsia="微軟正黑體" w:hint="eastAsia"/>
                <w:sz w:val="22"/>
                <w:szCs w:val="22"/>
              </w:rPr>
              <w:t>8</w:t>
            </w:r>
            <w:r>
              <w:rPr>
                <w:rFonts w:eastAsia="微軟正黑體" w:hint="eastAsia"/>
                <w:sz w:val="22"/>
                <w:szCs w:val="22"/>
              </w:rPr>
              <w:t>，</w:t>
            </w:r>
            <w:r>
              <w:rPr>
                <w:rFonts w:eastAsia="微軟正黑體" w:hint="eastAsia"/>
                <w:sz w:val="22"/>
                <w:szCs w:val="22"/>
              </w:rPr>
              <w:t>7</w:t>
            </w:r>
            <w:r w:rsidRPr="00F83AFF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287" w:type="pct"/>
            <w:vAlign w:val="center"/>
          </w:tcPr>
          <w:p w:rsidR="00980972" w:rsidRPr="00FB5197" w:rsidRDefault="00ED00B9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C5167">
              <w:t>•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Close of data3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」，分別代表「</w:t>
            </w:r>
            <w:r w:rsidR="00980972" w:rsidRPr="005B0515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」商品在交易時段內的外盤量總和及「</w:t>
            </w:r>
            <w:r w:rsidR="00980972" w:rsidRPr="005B0515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」商品在交易時段內的內盤量總和。</w:t>
            </w:r>
          </w:p>
        </w:tc>
        <w:tc>
          <w:tcPr>
            <w:tcW w:w="2205" w:type="pct"/>
            <w:vAlign w:val="center"/>
          </w:tcPr>
          <w:p w:rsidR="00980972" w:rsidRPr="00FB5197" w:rsidRDefault="00ED00B9" w:rsidP="00980972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C5167">
              <w:t>•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Close of data3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」，分別代表「</w:t>
            </w:r>
            <w:r w:rsidR="00980972"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2B323D"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bookmarkStart w:id="0" w:name="_GoBack"/>
            <w:bookmarkEnd w:id="0"/>
            <w:r w:rsidR="00980972"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」商品在交易時段內的外盤量總和及「</w:t>
            </w:r>
            <w:r w:rsidR="00980972"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="002B323D"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="00980972"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="00980972"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」商品在交易時段內的內盤量總和。</w:t>
            </w:r>
          </w:p>
        </w:tc>
      </w:tr>
    </w:tbl>
    <w:p w:rsidR="006C76D2" w:rsidRPr="00056986" w:rsidRDefault="006C76D2" w:rsidP="004A2034">
      <w:pPr>
        <w:widowControl/>
        <w:adjustRightInd w:val="0"/>
        <w:snapToGrid w:val="0"/>
        <w:spacing w:before="75" w:after="75"/>
        <w:jc w:val="center"/>
        <w:rPr>
          <w:rFonts w:ascii="微軟正黑體" w:eastAsia="微軟正黑體" w:hAnsi="微軟正黑體"/>
        </w:rPr>
      </w:pPr>
    </w:p>
    <w:sectPr w:rsidR="006C76D2" w:rsidRPr="00056986" w:rsidSect="00F97A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8F" w:rsidRDefault="001E3B8F" w:rsidP="003C1B5C">
      <w:r>
        <w:separator/>
      </w:r>
    </w:p>
  </w:endnote>
  <w:endnote w:type="continuationSeparator" w:id="0">
    <w:p w:rsidR="001E3B8F" w:rsidRDefault="001E3B8F" w:rsidP="003C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8F" w:rsidRDefault="001E3B8F" w:rsidP="003C1B5C">
      <w:r>
        <w:separator/>
      </w:r>
    </w:p>
  </w:footnote>
  <w:footnote w:type="continuationSeparator" w:id="0">
    <w:p w:rsidR="001E3B8F" w:rsidRDefault="001E3B8F" w:rsidP="003C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33"/>
    <w:multiLevelType w:val="hybridMultilevel"/>
    <w:tmpl w:val="E9D05FCE"/>
    <w:lvl w:ilvl="0" w:tplc="037C12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F8306E"/>
    <w:multiLevelType w:val="hybridMultilevel"/>
    <w:tmpl w:val="B88C7402"/>
    <w:lvl w:ilvl="0" w:tplc="D6FCFFE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013C6"/>
    <w:multiLevelType w:val="hybridMultilevel"/>
    <w:tmpl w:val="64FA2FB2"/>
    <w:lvl w:ilvl="0" w:tplc="9F9EE9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583382"/>
    <w:multiLevelType w:val="hybridMultilevel"/>
    <w:tmpl w:val="7A36D68E"/>
    <w:lvl w:ilvl="0" w:tplc="A8322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7D3ED3"/>
    <w:multiLevelType w:val="hybridMultilevel"/>
    <w:tmpl w:val="B0A8C0E6"/>
    <w:lvl w:ilvl="0" w:tplc="4FC0FA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92448C"/>
    <w:multiLevelType w:val="hybridMultilevel"/>
    <w:tmpl w:val="EEDABF5E"/>
    <w:lvl w:ilvl="0" w:tplc="FE300C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1"/>
    <w:rsid w:val="00035BC8"/>
    <w:rsid w:val="00041269"/>
    <w:rsid w:val="000428C6"/>
    <w:rsid w:val="00045862"/>
    <w:rsid w:val="00045C31"/>
    <w:rsid w:val="00050D7B"/>
    <w:rsid w:val="00055F71"/>
    <w:rsid w:val="00056986"/>
    <w:rsid w:val="0006203A"/>
    <w:rsid w:val="00095B16"/>
    <w:rsid w:val="000A33C1"/>
    <w:rsid w:val="000B382E"/>
    <w:rsid w:val="000B74E4"/>
    <w:rsid w:val="000C6699"/>
    <w:rsid w:val="000D200E"/>
    <w:rsid w:val="0010215C"/>
    <w:rsid w:val="00121F11"/>
    <w:rsid w:val="00164684"/>
    <w:rsid w:val="00173BB8"/>
    <w:rsid w:val="001A6E11"/>
    <w:rsid w:val="001B22FE"/>
    <w:rsid w:val="001B666A"/>
    <w:rsid w:val="001C0D38"/>
    <w:rsid w:val="001C79F2"/>
    <w:rsid w:val="001E3B8F"/>
    <w:rsid w:val="001F2BC2"/>
    <w:rsid w:val="002378CE"/>
    <w:rsid w:val="00240AB1"/>
    <w:rsid w:val="00244F02"/>
    <w:rsid w:val="002661C3"/>
    <w:rsid w:val="00274154"/>
    <w:rsid w:val="00275FE3"/>
    <w:rsid w:val="002812C7"/>
    <w:rsid w:val="00292D52"/>
    <w:rsid w:val="00294179"/>
    <w:rsid w:val="002B323D"/>
    <w:rsid w:val="002C6A1C"/>
    <w:rsid w:val="002E1C8E"/>
    <w:rsid w:val="002E6342"/>
    <w:rsid w:val="00313476"/>
    <w:rsid w:val="003134D3"/>
    <w:rsid w:val="00320C9E"/>
    <w:rsid w:val="00346C33"/>
    <w:rsid w:val="003520DD"/>
    <w:rsid w:val="00353D79"/>
    <w:rsid w:val="003572A9"/>
    <w:rsid w:val="00375DBF"/>
    <w:rsid w:val="00384000"/>
    <w:rsid w:val="003A05F6"/>
    <w:rsid w:val="003A5A56"/>
    <w:rsid w:val="003A5BEC"/>
    <w:rsid w:val="003C1B5C"/>
    <w:rsid w:val="003C3E74"/>
    <w:rsid w:val="003C3EB8"/>
    <w:rsid w:val="003E5163"/>
    <w:rsid w:val="003F6536"/>
    <w:rsid w:val="00423BFC"/>
    <w:rsid w:val="00432735"/>
    <w:rsid w:val="00434EE5"/>
    <w:rsid w:val="00447E4C"/>
    <w:rsid w:val="004617E7"/>
    <w:rsid w:val="0046225C"/>
    <w:rsid w:val="00467F20"/>
    <w:rsid w:val="004703E8"/>
    <w:rsid w:val="004733F4"/>
    <w:rsid w:val="004802D7"/>
    <w:rsid w:val="00481B15"/>
    <w:rsid w:val="00483F27"/>
    <w:rsid w:val="00484524"/>
    <w:rsid w:val="00491EDB"/>
    <w:rsid w:val="004A2034"/>
    <w:rsid w:val="004B046A"/>
    <w:rsid w:val="004C27C4"/>
    <w:rsid w:val="004F35C4"/>
    <w:rsid w:val="004F49E9"/>
    <w:rsid w:val="004F4B30"/>
    <w:rsid w:val="004F71BC"/>
    <w:rsid w:val="005111F4"/>
    <w:rsid w:val="00515CFD"/>
    <w:rsid w:val="005279BF"/>
    <w:rsid w:val="00585D47"/>
    <w:rsid w:val="005862DD"/>
    <w:rsid w:val="00593608"/>
    <w:rsid w:val="005A2877"/>
    <w:rsid w:val="005B0515"/>
    <w:rsid w:val="005B399A"/>
    <w:rsid w:val="005C230D"/>
    <w:rsid w:val="005E08BE"/>
    <w:rsid w:val="005E08F3"/>
    <w:rsid w:val="005E0D8F"/>
    <w:rsid w:val="005E11C8"/>
    <w:rsid w:val="005E32AA"/>
    <w:rsid w:val="00627FD2"/>
    <w:rsid w:val="0066068D"/>
    <w:rsid w:val="00690FDD"/>
    <w:rsid w:val="006A32DF"/>
    <w:rsid w:val="006A5C1D"/>
    <w:rsid w:val="006B2FDC"/>
    <w:rsid w:val="006B4977"/>
    <w:rsid w:val="006C76D2"/>
    <w:rsid w:val="006C7FE4"/>
    <w:rsid w:val="006E16D6"/>
    <w:rsid w:val="006F2314"/>
    <w:rsid w:val="006F26B5"/>
    <w:rsid w:val="0070540A"/>
    <w:rsid w:val="007065CA"/>
    <w:rsid w:val="00735505"/>
    <w:rsid w:val="00735CF1"/>
    <w:rsid w:val="00750D0D"/>
    <w:rsid w:val="007553AF"/>
    <w:rsid w:val="007A63CE"/>
    <w:rsid w:val="007A6ABB"/>
    <w:rsid w:val="007C2932"/>
    <w:rsid w:val="007D42D6"/>
    <w:rsid w:val="007E187F"/>
    <w:rsid w:val="007F550D"/>
    <w:rsid w:val="00802AA7"/>
    <w:rsid w:val="008146DE"/>
    <w:rsid w:val="00825D0C"/>
    <w:rsid w:val="00856E29"/>
    <w:rsid w:val="0088450B"/>
    <w:rsid w:val="008A0386"/>
    <w:rsid w:val="008A0F8E"/>
    <w:rsid w:val="008A1A13"/>
    <w:rsid w:val="008B44B4"/>
    <w:rsid w:val="008C2DDD"/>
    <w:rsid w:val="008D17FD"/>
    <w:rsid w:val="008D555F"/>
    <w:rsid w:val="008E2745"/>
    <w:rsid w:val="008F1011"/>
    <w:rsid w:val="00910994"/>
    <w:rsid w:val="009469A3"/>
    <w:rsid w:val="009701EB"/>
    <w:rsid w:val="00977882"/>
    <w:rsid w:val="00980072"/>
    <w:rsid w:val="00980972"/>
    <w:rsid w:val="0099411F"/>
    <w:rsid w:val="009A00D0"/>
    <w:rsid w:val="009C0B6D"/>
    <w:rsid w:val="009D545C"/>
    <w:rsid w:val="009F0237"/>
    <w:rsid w:val="00A0153D"/>
    <w:rsid w:val="00A16B41"/>
    <w:rsid w:val="00A27BAF"/>
    <w:rsid w:val="00A32ABE"/>
    <w:rsid w:val="00A52D31"/>
    <w:rsid w:val="00A56C14"/>
    <w:rsid w:val="00A765BE"/>
    <w:rsid w:val="00AA6BDE"/>
    <w:rsid w:val="00AC0736"/>
    <w:rsid w:val="00AC4A78"/>
    <w:rsid w:val="00AE42A3"/>
    <w:rsid w:val="00AF1F51"/>
    <w:rsid w:val="00B35658"/>
    <w:rsid w:val="00B53F8A"/>
    <w:rsid w:val="00B75DE1"/>
    <w:rsid w:val="00B76DEE"/>
    <w:rsid w:val="00B8097A"/>
    <w:rsid w:val="00BA7D93"/>
    <w:rsid w:val="00BE318B"/>
    <w:rsid w:val="00C04B56"/>
    <w:rsid w:val="00C21F07"/>
    <w:rsid w:val="00C24392"/>
    <w:rsid w:val="00C261A7"/>
    <w:rsid w:val="00C3212D"/>
    <w:rsid w:val="00C45769"/>
    <w:rsid w:val="00C50F7F"/>
    <w:rsid w:val="00C67B3A"/>
    <w:rsid w:val="00C75F83"/>
    <w:rsid w:val="00CB62EA"/>
    <w:rsid w:val="00CC59B7"/>
    <w:rsid w:val="00CD4858"/>
    <w:rsid w:val="00CF29A1"/>
    <w:rsid w:val="00D06EF5"/>
    <w:rsid w:val="00D160E4"/>
    <w:rsid w:val="00D53561"/>
    <w:rsid w:val="00D60864"/>
    <w:rsid w:val="00D67757"/>
    <w:rsid w:val="00D84635"/>
    <w:rsid w:val="00D907C9"/>
    <w:rsid w:val="00D961CF"/>
    <w:rsid w:val="00DF4FB3"/>
    <w:rsid w:val="00E145BA"/>
    <w:rsid w:val="00E23FA9"/>
    <w:rsid w:val="00E270B8"/>
    <w:rsid w:val="00E32F29"/>
    <w:rsid w:val="00E44D52"/>
    <w:rsid w:val="00E51938"/>
    <w:rsid w:val="00E70E1F"/>
    <w:rsid w:val="00EA052A"/>
    <w:rsid w:val="00EB0DDB"/>
    <w:rsid w:val="00EC195F"/>
    <w:rsid w:val="00ED00B9"/>
    <w:rsid w:val="00ED68C8"/>
    <w:rsid w:val="00EE389B"/>
    <w:rsid w:val="00EE5D0C"/>
    <w:rsid w:val="00F1300F"/>
    <w:rsid w:val="00F62AC1"/>
    <w:rsid w:val="00F72743"/>
    <w:rsid w:val="00F96654"/>
    <w:rsid w:val="00F97221"/>
    <w:rsid w:val="00F97AEB"/>
    <w:rsid w:val="00FB5197"/>
    <w:rsid w:val="00FD3F49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23D6A-AD80-4350-B724-42F74D0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C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17</cp:revision>
  <dcterms:created xsi:type="dcterms:W3CDTF">2022-09-01T12:12:00Z</dcterms:created>
  <dcterms:modified xsi:type="dcterms:W3CDTF">2022-09-04T01:12:00Z</dcterms:modified>
</cp:coreProperties>
</file>